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EB7CC" w14:textId="467394BD" w:rsidR="00D23A48" w:rsidRDefault="00EB770C">
      <w:r>
        <w:rPr>
          <w:noProof/>
        </w:rPr>
        <w:drawing>
          <wp:inline distT="0" distB="0" distL="0" distR="0" wp14:anchorId="310555E6" wp14:editId="0B81A6B2">
            <wp:extent cx="1982380" cy="779777"/>
            <wp:effectExtent l="0" t="0" r="0" b="1905"/>
            <wp:docPr id="31124729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47298"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2218" cy="787580"/>
                    </a:xfrm>
                    <a:prstGeom prst="rect">
                      <a:avLst/>
                    </a:prstGeom>
                  </pic:spPr>
                </pic:pic>
              </a:graphicData>
            </a:graphic>
          </wp:inline>
        </w:drawing>
      </w:r>
    </w:p>
    <w:p w14:paraId="76097B40" w14:textId="5C5E8A50" w:rsidR="00E63938" w:rsidRDefault="00E63938" w:rsidP="00E63938">
      <w:pPr>
        <w:jc w:val="right"/>
      </w:pPr>
      <w:r>
        <w:t>Pour diffusion immédiate</w:t>
      </w:r>
    </w:p>
    <w:p w14:paraId="6E6E210C" w14:textId="77777777" w:rsidR="00E63938" w:rsidRDefault="00E63938" w:rsidP="00E63938">
      <w:pPr>
        <w:jc w:val="right"/>
      </w:pPr>
    </w:p>
    <w:p w14:paraId="5691D002" w14:textId="77777777" w:rsidR="00D23A48" w:rsidRDefault="00D23A48"/>
    <w:p w14:paraId="648D8CF7" w14:textId="73784172" w:rsidR="00484B7F" w:rsidRPr="00EB770C" w:rsidRDefault="00EB770C" w:rsidP="00EB770C">
      <w:pPr>
        <w:jc w:val="center"/>
        <w:rPr>
          <w:b/>
          <w:bCs/>
        </w:rPr>
      </w:pPr>
      <w:r w:rsidRPr="00EB770C">
        <w:rPr>
          <w:b/>
          <w:bCs/>
        </w:rPr>
        <w:t>Couper dans les services aux</w:t>
      </w:r>
      <w:r w:rsidR="00484B7F" w:rsidRPr="00EB770C">
        <w:rPr>
          <w:b/>
          <w:bCs/>
        </w:rPr>
        <w:t xml:space="preserve"> personnes handicapées </w:t>
      </w:r>
      <w:r w:rsidRPr="00EB770C">
        <w:rPr>
          <w:b/>
          <w:bCs/>
        </w:rPr>
        <w:t>jusqu’à l’indécence</w:t>
      </w:r>
    </w:p>
    <w:p w14:paraId="6CD0D6E9" w14:textId="77777777" w:rsidR="00484B7F" w:rsidRDefault="00484B7F"/>
    <w:p w14:paraId="5D7B9EDB" w14:textId="77777777" w:rsidR="00484B7F" w:rsidRDefault="00484B7F"/>
    <w:p w14:paraId="1F404C50" w14:textId="29CBD39B" w:rsidR="00484B7F" w:rsidRDefault="00E63938" w:rsidP="00E63938">
      <w:pPr>
        <w:jc w:val="both"/>
      </w:pPr>
      <w:r>
        <w:t xml:space="preserve">Québec, lundi 9 décembre 2024 – </w:t>
      </w:r>
      <w:r w:rsidR="00484B7F">
        <w:t>L’Alliance québécoise des regroupements régionaux pour l’intégration des personnes handicapées (AQRIPH)</w:t>
      </w:r>
      <w:r w:rsidR="00B1630D">
        <w:t xml:space="preserve"> </w:t>
      </w:r>
      <w:r w:rsidR="00484B7F">
        <w:t xml:space="preserve">déplore que le gouvernement s’en prenne aux personnes handicapées </w:t>
      </w:r>
      <w:r>
        <w:t xml:space="preserve">et leurs proches </w:t>
      </w:r>
      <w:r w:rsidR="00484B7F">
        <w:t>en coupant ou en sous-investissant dans les programmes qui leur sont destinés.</w:t>
      </w:r>
    </w:p>
    <w:p w14:paraId="568890FF" w14:textId="77777777" w:rsidR="00484B7F" w:rsidRDefault="00484B7F" w:rsidP="00E63938">
      <w:pPr>
        <w:jc w:val="both"/>
      </w:pPr>
    </w:p>
    <w:p w14:paraId="0C1521BA" w14:textId="77777777" w:rsidR="00A65C0C" w:rsidRDefault="00484B7F" w:rsidP="00E63938">
      <w:pPr>
        <w:jc w:val="both"/>
      </w:pPr>
      <w:r>
        <w:t>Au cours des dernières semaines</w:t>
      </w:r>
      <w:r w:rsidR="00E63938">
        <w:t>,</w:t>
      </w:r>
      <w:r>
        <w:t xml:space="preserve"> nous avons appris </w:t>
      </w:r>
      <w:r w:rsidR="009676BC">
        <w:t xml:space="preserve">que la mesure </w:t>
      </w:r>
      <w:r w:rsidR="003E09A5">
        <w:t xml:space="preserve">Contrat d’intégration au travail </w:t>
      </w:r>
      <w:r w:rsidR="00381E7F">
        <w:t xml:space="preserve">(CIT) </w:t>
      </w:r>
      <w:r w:rsidR="008971B2">
        <w:t xml:space="preserve">qui permet l’intégration et le maintien en emploi de personnes handicapées </w:t>
      </w:r>
      <w:r w:rsidR="004E598F">
        <w:t>a été</w:t>
      </w:r>
      <w:r w:rsidR="003E09A5">
        <w:t xml:space="preserve"> amputé</w:t>
      </w:r>
      <w:r w:rsidR="005808E4">
        <w:t>e</w:t>
      </w:r>
      <w:r w:rsidR="003E09A5">
        <w:t xml:space="preserve"> de 5 %</w:t>
      </w:r>
      <w:r w:rsidR="001E7971">
        <w:t xml:space="preserve"> pour </w:t>
      </w:r>
      <w:r w:rsidR="00D81CE4">
        <w:t xml:space="preserve">plusieurs </w:t>
      </w:r>
      <w:r w:rsidR="001E7971">
        <w:t>travailleurs handicapés</w:t>
      </w:r>
      <w:r w:rsidR="009F154D">
        <w:t xml:space="preserve">; </w:t>
      </w:r>
      <w:r>
        <w:t>que le Programme d’adaptation de domicile a été suspendu pour le reste de l’année financière</w:t>
      </w:r>
      <w:r w:rsidR="00E22226">
        <w:t>;</w:t>
      </w:r>
      <w:r>
        <w:t xml:space="preserve"> que plusieurs bénéficiaires du chèque-emploi-service (CES) pour les services </w:t>
      </w:r>
      <w:r w:rsidR="00D81CE4">
        <w:t xml:space="preserve">de </w:t>
      </w:r>
      <w:r w:rsidR="006F40CC">
        <w:t>soutien</w:t>
      </w:r>
      <w:r>
        <w:t xml:space="preserve"> à domicile (SAD) ont subi une diminution du nombre d’heures accordé</w:t>
      </w:r>
      <w:r w:rsidR="00E63938">
        <w:t>e</w:t>
      </w:r>
      <w:r w:rsidR="006F40CC">
        <w:t>s</w:t>
      </w:r>
      <w:r w:rsidR="00E22226">
        <w:t>;</w:t>
      </w:r>
      <w:r w:rsidR="006F40CC">
        <w:t xml:space="preserve"> que les familles qui bénéficiaient d’allocations pour le soutien aux familles (SAF) dépassant les barèmes de 1991 pour l’achat de services de répit verront leurs allocations réduites à partir d’avril prochain</w:t>
      </w:r>
      <w:r w:rsidR="00F243D1">
        <w:t xml:space="preserve"> pour revenir aux barèmes </w:t>
      </w:r>
      <w:r w:rsidR="00A65C0C">
        <w:t xml:space="preserve">d’il y a </w:t>
      </w:r>
      <w:r w:rsidR="00DD3D5E">
        <w:t>33 ans</w:t>
      </w:r>
      <w:r w:rsidR="006F40CC">
        <w:t xml:space="preserve">. </w:t>
      </w:r>
    </w:p>
    <w:p w14:paraId="1C472B74" w14:textId="77777777" w:rsidR="009F77F2" w:rsidRDefault="009F77F2" w:rsidP="00E63938">
      <w:pPr>
        <w:jc w:val="both"/>
      </w:pPr>
    </w:p>
    <w:p w14:paraId="4CCD5AF1" w14:textId="669C42C2" w:rsidR="00AD33C3" w:rsidRDefault="00AD33C3" w:rsidP="00E63938">
      <w:pPr>
        <w:jc w:val="both"/>
      </w:pPr>
      <w:r>
        <w:t xml:space="preserve">De plus, en ce qui concerne la consultation </w:t>
      </w:r>
      <w:r w:rsidR="00A65C0C">
        <w:t>qu</w:t>
      </w:r>
      <w:r w:rsidR="00C46C6C">
        <w:t>i</w:t>
      </w:r>
      <w:r w:rsidR="00A65C0C">
        <w:t xml:space="preserve"> vient d</w:t>
      </w:r>
      <w:r w:rsidR="00C46C6C">
        <w:t>’être</w:t>
      </w:r>
      <w:r w:rsidR="00A65C0C">
        <w:t xml:space="preserve"> lanc</w:t>
      </w:r>
      <w:r w:rsidR="00C46C6C">
        <w:t>ée</w:t>
      </w:r>
      <w:r w:rsidR="00A65C0C">
        <w:t xml:space="preserve"> </w:t>
      </w:r>
      <w:r>
        <w:t xml:space="preserve">sur la </w:t>
      </w:r>
      <w:r w:rsidRPr="00DD6AD4">
        <w:rPr>
          <w:i/>
          <w:iCs/>
        </w:rPr>
        <w:t>nouvelle Politique nationale sur les soins et les services de soutien à domicile</w:t>
      </w:r>
      <w:r>
        <w:t xml:space="preserve">, </w:t>
      </w:r>
      <w:r w:rsidR="00C46C6C">
        <w:t xml:space="preserve">le gouvernement </w:t>
      </w:r>
      <w:r>
        <w:t>remet en question la décision gouvernementale de 1988</w:t>
      </w:r>
      <w:r w:rsidR="001A1E8D">
        <w:rPr>
          <w:rStyle w:val="Appelnotedebasdep"/>
        </w:rPr>
        <w:footnoteReference w:id="1"/>
      </w:r>
      <w:r>
        <w:t xml:space="preserve"> </w:t>
      </w:r>
      <w:r w:rsidR="005863EA">
        <w:t>d’</w:t>
      </w:r>
      <w:r>
        <w:t>accepte</w:t>
      </w:r>
      <w:r w:rsidR="005863EA">
        <w:t>r</w:t>
      </w:r>
      <w:r>
        <w:t xml:space="preserve"> le principe de « la compensation des limitations fonctionnelles des personnes handicapées sans égard à leur revenu et celui de leur famille ».</w:t>
      </w:r>
      <w:r w:rsidR="005863EA">
        <w:t xml:space="preserve"> </w:t>
      </w:r>
      <w:r w:rsidR="002959F4">
        <w:t>Même s’il s’agit d’un document de consultation, il est indécent que le gouvernement y envisage cette possibilité</w:t>
      </w:r>
      <w:r w:rsidR="00743C67">
        <w:t xml:space="preserve"> de remettre en cause un principe d’équité et de justice </w:t>
      </w:r>
      <w:r w:rsidR="004620E5">
        <w:t>dont s’est doté le Q</w:t>
      </w:r>
      <w:r w:rsidR="00A108FA">
        <w:t>u</w:t>
      </w:r>
      <w:r w:rsidR="004620E5">
        <w:t>ébec</w:t>
      </w:r>
      <w:r w:rsidR="00CD0C0E">
        <w:t xml:space="preserve"> pour les personnes handicapées</w:t>
      </w:r>
      <w:r w:rsidR="00A108FA">
        <w:t>.</w:t>
      </w:r>
    </w:p>
    <w:p w14:paraId="6F9FAA3E" w14:textId="77777777" w:rsidR="009F77F2" w:rsidRDefault="009F77F2" w:rsidP="00E63938">
      <w:pPr>
        <w:jc w:val="both"/>
      </w:pPr>
    </w:p>
    <w:p w14:paraId="6C23093D" w14:textId="3696B4F0" w:rsidR="008609CF" w:rsidRPr="009F77F2" w:rsidRDefault="008609CF" w:rsidP="00E63938">
      <w:pPr>
        <w:jc w:val="both"/>
        <w:rPr>
          <w:b/>
          <w:bCs/>
        </w:rPr>
      </w:pPr>
      <w:r w:rsidRPr="009F77F2">
        <w:rPr>
          <w:b/>
          <w:bCs/>
        </w:rPr>
        <w:t>Citation :</w:t>
      </w:r>
    </w:p>
    <w:p w14:paraId="226988DC" w14:textId="77777777" w:rsidR="008609CF" w:rsidRDefault="008609CF" w:rsidP="00E63938">
      <w:pPr>
        <w:jc w:val="both"/>
      </w:pPr>
    </w:p>
    <w:p w14:paraId="2BABDB73" w14:textId="15F0EDE3" w:rsidR="008609CF" w:rsidRDefault="008609CF" w:rsidP="00E63938">
      <w:pPr>
        <w:jc w:val="both"/>
      </w:pPr>
      <w:r>
        <w:t>« On assiste ici à un recul de 35 ans au regard d’une plus grande équité nécessaire à une société plus inclusive des personnes handicapées. </w:t>
      </w:r>
      <w:r w:rsidR="00D81CE4">
        <w:t>L’AQRIPH revendique que le gouvernement cesse de s’en prendre aux personnes handicapées dans son exercice de retour à l’austérité</w:t>
      </w:r>
      <w:r w:rsidR="00890CE9">
        <w:t xml:space="preserve"> et recule</w:t>
      </w:r>
      <w:r w:rsidR="009E62E3">
        <w:t xml:space="preserve"> concernant son attaque au principe de compensation</w:t>
      </w:r>
      <w:r w:rsidR="00D81CE4">
        <w:t>.</w:t>
      </w:r>
      <w:r w:rsidR="00754D44">
        <w:t xml:space="preserve"> </w:t>
      </w:r>
      <w:r>
        <w:t xml:space="preserve">» </w:t>
      </w:r>
    </w:p>
    <w:p w14:paraId="615E7344" w14:textId="77777777" w:rsidR="00E63938" w:rsidRDefault="00E63938" w:rsidP="00E63938">
      <w:pPr>
        <w:jc w:val="both"/>
      </w:pPr>
    </w:p>
    <w:p w14:paraId="76D6666A" w14:textId="77777777" w:rsidR="009F77F2" w:rsidRPr="009F77F2" w:rsidRDefault="009F77F2" w:rsidP="009F77F2">
      <w:pPr>
        <w:jc w:val="both"/>
        <w:rPr>
          <w:i/>
          <w:iCs/>
        </w:rPr>
      </w:pPr>
      <w:r>
        <w:rPr>
          <w:i/>
          <w:iCs/>
        </w:rPr>
        <w:t>Isabelle Tremblay, directrice générale de l’AQRIPH</w:t>
      </w:r>
    </w:p>
    <w:p w14:paraId="52E0EF73" w14:textId="77777777" w:rsidR="00D81CE4" w:rsidRDefault="00D81CE4" w:rsidP="00D81CE4">
      <w:pPr>
        <w:jc w:val="both"/>
      </w:pPr>
    </w:p>
    <w:p w14:paraId="3D1201A8" w14:textId="77777777" w:rsidR="009F77F2" w:rsidRDefault="009F77F2" w:rsidP="00E63938">
      <w:pPr>
        <w:jc w:val="both"/>
      </w:pPr>
    </w:p>
    <w:p w14:paraId="4E4748C7" w14:textId="77777777" w:rsidR="008F6BB0" w:rsidRDefault="008F6BB0" w:rsidP="00E63938">
      <w:pPr>
        <w:jc w:val="both"/>
        <w:rPr>
          <w:b/>
          <w:bCs/>
        </w:rPr>
      </w:pPr>
    </w:p>
    <w:p w14:paraId="3DE53801" w14:textId="0B6F777A" w:rsidR="00E63938" w:rsidRPr="009F77F2" w:rsidRDefault="00E63938" w:rsidP="00E63938">
      <w:pPr>
        <w:jc w:val="both"/>
        <w:rPr>
          <w:b/>
          <w:bCs/>
        </w:rPr>
      </w:pPr>
      <w:r w:rsidRPr="009F77F2">
        <w:rPr>
          <w:b/>
          <w:bCs/>
        </w:rPr>
        <w:lastRenderedPageBreak/>
        <w:t>À propos de l’AQRIPH</w:t>
      </w:r>
    </w:p>
    <w:p w14:paraId="1DA241F3" w14:textId="77777777" w:rsidR="00E63938" w:rsidRDefault="00E63938" w:rsidP="00E63938">
      <w:pPr>
        <w:jc w:val="both"/>
      </w:pPr>
    </w:p>
    <w:p w14:paraId="74C8DAF8" w14:textId="77777777" w:rsidR="00E63938" w:rsidRDefault="00E63938" w:rsidP="00E63938">
      <w:pPr>
        <w:jc w:val="both"/>
      </w:pPr>
      <w:r>
        <w:t xml:space="preserve">L’AQRIPH est un organisme national de défense collective des droits des personnes handicapées et des proches, formé de 17 regroupements régionaux présents sur le territoire québécois, qui eux rassemblent plus de 400 organismes de personnes handicapées et de proches. </w:t>
      </w:r>
    </w:p>
    <w:p w14:paraId="57236463" w14:textId="77777777" w:rsidR="00E63938" w:rsidRDefault="00E63938" w:rsidP="00E63938"/>
    <w:p w14:paraId="0086CB81" w14:textId="77777777" w:rsidR="00E63938" w:rsidRDefault="00E63938" w:rsidP="00E22226"/>
    <w:p w14:paraId="18147821" w14:textId="5080FC3A" w:rsidR="00E63938" w:rsidRDefault="00E63938" w:rsidP="00E63938">
      <w:pPr>
        <w:jc w:val="center"/>
      </w:pPr>
      <w:r>
        <w:t>- 30 –</w:t>
      </w:r>
    </w:p>
    <w:p w14:paraId="794A5D12" w14:textId="77777777" w:rsidR="00E63938" w:rsidRDefault="00E63938" w:rsidP="00E63938"/>
    <w:p w14:paraId="397574A0" w14:textId="77777777" w:rsidR="00E63938" w:rsidRDefault="00E63938" w:rsidP="00E63938"/>
    <w:p w14:paraId="1923EB0F" w14:textId="27FFE9BE" w:rsidR="00E63938" w:rsidRDefault="00E63938" w:rsidP="00E63938">
      <w:r>
        <w:t xml:space="preserve">Sources : </w:t>
      </w:r>
      <w:r>
        <w:tab/>
        <w:t xml:space="preserve">Isabelle Tremblay </w:t>
      </w:r>
      <w:hyperlink r:id="rId9" w:history="1">
        <w:r w:rsidRPr="009E2755">
          <w:rPr>
            <w:rStyle w:val="Lienhypertexte"/>
          </w:rPr>
          <w:t>aqriph@aqriph.com</w:t>
        </w:r>
      </w:hyperlink>
      <w:r w:rsidR="00754D44">
        <w:rPr>
          <w:rStyle w:val="Lienhypertexte"/>
        </w:rPr>
        <w:t xml:space="preserve">  581.308.6770</w:t>
      </w:r>
    </w:p>
    <w:p w14:paraId="49C88E0C" w14:textId="0ED15953" w:rsidR="001B67B3" w:rsidRDefault="00E63938" w:rsidP="00E63938">
      <w:r>
        <w:tab/>
      </w:r>
      <w:r>
        <w:tab/>
        <w:t xml:space="preserve">Pierre Berger </w:t>
      </w:r>
      <w:hyperlink r:id="rId10" w:history="1">
        <w:r w:rsidRPr="009E2755">
          <w:rPr>
            <w:rStyle w:val="Lienhypertexte"/>
          </w:rPr>
          <w:t>pierre.berger@aqriph.com</w:t>
        </w:r>
      </w:hyperlink>
    </w:p>
    <w:sectPr w:rsidR="001B67B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F9F13" w14:textId="77777777" w:rsidR="005C6EF2" w:rsidRDefault="005C6EF2" w:rsidP="00E63938">
      <w:r>
        <w:separator/>
      </w:r>
    </w:p>
  </w:endnote>
  <w:endnote w:type="continuationSeparator" w:id="0">
    <w:p w14:paraId="0D6CA9C3" w14:textId="77777777" w:rsidR="005C6EF2" w:rsidRDefault="005C6EF2" w:rsidP="00E6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53CF" w14:textId="77777777" w:rsidR="005C6EF2" w:rsidRDefault="005C6EF2" w:rsidP="00E63938">
      <w:r>
        <w:separator/>
      </w:r>
    </w:p>
  </w:footnote>
  <w:footnote w:type="continuationSeparator" w:id="0">
    <w:p w14:paraId="3D9EA3B4" w14:textId="77777777" w:rsidR="005C6EF2" w:rsidRDefault="005C6EF2" w:rsidP="00E63938">
      <w:r>
        <w:continuationSeparator/>
      </w:r>
    </w:p>
  </w:footnote>
  <w:footnote w:id="1">
    <w:p w14:paraId="2C1D6C5E" w14:textId="38763086" w:rsidR="001A1E8D" w:rsidRDefault="001A1E8D">
      <w:pPr>
        <w:pStyle w:val="Notedebasdepage"/>
      </w:pPr>
      <w:r>
        <w:rPr>
          <w:rStyle w:val="Appelnotedebasdep"/>
        </w:rPr>
        <w:footnoteRef/>
      </w:r>
      <w:r>
        <w:t xml:space="preserve"> Délibération du Conseil exécutif, 88-151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01569"/>
    <w:multiLevelType w:val="hybridMultilevel"/>
    <w:tmpl w:val="3B5CB75A"/>
    <w:lvl w:ilvl="0" w:tplc="39AE149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1224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7F"/>
    <w:rsid w:val="00080C1C"/>
    <w:rsid w:val="000F2FB3"/>
    <w:rsid w:val="001772CD"/>
    <w:rsid w:val="00183459"/>
    <w:rsid w:val="001A1E8D"/>
    <w:rsid w:val="001B67B3"/>
    <w:rsid w:val="001E7971"/>
    <w:rsid w:val="002959F4"/>
    <w:rsid w:val="002B0EE4"/>
    <w:rsid w:val="00381E7F"/>
    <w:rsid w:val="003B0362"/>
    <w:rsid w:val="003E09A5"/>
    <w:rsid w:val="004620E5"/>
    <w:rsid w:val="00484B7F"/>
    <w:rsid w:val="004E598F"/>
    <w:rsid w:val="005808E4"/>
    <w:rsid w:val="005863EA"/>
    <w:rsid w:val="005C6EF2"/>
    <w:rsid w:val="00656D07"/>
    <w:rsid w:val="0068598F"/>
    <w:rsid w:val="006C38FE"/>
    <w:rsid w:val="006F40CC"/>
    <w:rsid w:val="00714C03"/>
    <w:rsid w:val="00743C67"/>
    <w:rsid w:val="00754D44"/>
    <w:rsid w:val="00764A5D"/>
    <w:rsid w:val="007A2399"/>
    <w:rsid w:val="00816C0C"/>
    <w:rsid w:val="008609CF"/>
    <w:rsid w:val="00890CE9"/>
    <w:rsid w:val="008971B2"/>
    <w:rsid w:val="008D508D"/>
    <w:rsid w:val="008F6BB0"/>
    <w:rsid w:val="00946274"/>
    <w:rsid w:val="009676BC"/>
    <w:rsid w:val="009A40EA"/>
    <w:rsid w:val="009C1BE3"/>
    <w:rsid w:val="009E62E3"/>
    <w:rsid w:val="009F154D"/>
    <w:rsid w:val="009F77F2"/>
    <w:rsid w:val="00A108FA"/>
    <w:rsid w:val="00A65C0C"/>
    <w:rsid w:val="00A86F88"/>
    <w:rsid w:val="00AB112D"/>
    <w:rsid w:val="00AD33C3"/>
    <w:rsid w:val="00AF092B"/>
    <w:rsid w:val="00B1630D"/>
    <w:rsid w:val="00BF02B6"/>
    <w:rsid w:val="00BF279C"/>
    <w:rsid w:val="00C46C6C"/>
    <w:rsid w:val="00C974AC"/>
    <w:rsid w:val="00CD0C0E"/>
    <w:rsid w:val="00CD37BA"/>
    <w:rsid w:val="00D23A48"/>
    <w:rsid w:val="00D81CE4"/>
    <w:rsid w:val="00DD3D5E"/>
    <w:rsid w:val="00DD6AD4"/>
    <w:rsid w:val="00E1266E"/>
    <w:rsid w:val="00E22226"/>
    <w:rsid w:val="00E63938"/>
    <w:rsid w:val="00EB770C"/>
    <w:rsid w:val="00F14C0C"/>
    <w:rsid w:val="00F243D1"/>
    <w:rsid w:val="00F74AAA"/>
    <w:rsid w:val="00F926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4554"/>
  <w15:chartTrackingRefBased/>
  <w15:docId w15:val="{7640F4DA-2293-4725-8F64-12FA3ED4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4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84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84B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84B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484B7F"/>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484B7F"/>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84B7F"/>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84B7F"/>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84B7F"/>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B7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84B7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84B7F"/>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484B7F"/>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484B7F"/>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484B7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84B7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84B7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84B7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84B7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4B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4B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4B7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84B7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4B7F"/>
    <w:rPr>
      <w:i/>
      <w:iCs/>
      <w:color w:val="404040" w:themeColor="text1" w:themeTint="BF"/>
    </w:rPr>
  </w:style>
  <w:style w:type="paragraph" w:styleId="Paragraphedeliste">
    <w:name w:val="List Paragraph"/>
    <w:basedOn w:val="Normal"/>
    <w:uiPriority w:val="34"/>
    <w:qFormat/>
    <w:rsid w:val="00484B7F"/>
    <w:pPr>
      <w:ind w:left="720"/>
      <w:contextualSpacing/>
    </w:pPr>
  </w:style>
  <w:style w:type="character" w:styleId="Accentuationintense">
    <w:name w:val="Intense Emphasis"/>
    <w:basedOn w:val="Policepardfaut"/>
    <w:uiPriority w:val="21"/>
    <w:qFormat/>
    <w:rsid w:val="00484B7F"/>
    <w:rPr>
      <w:i/>
      <w:iCs/>
      <w:color w:val="2F5496" w:themeColor="accent1" w:themeShade="BF"/>
    </w:rPr>
  </w:style>
  <w:style w:type="paragraph" w:styleId="Citationintense">
    <w:name w:val="Intense Quote"/>
    <w:basedOn w:val="Normal"/>
    <w:next w:val="Normal"/>
    <w:link w:val="CitationintenseCar"/>
    <w:uiPriority w:val="30"/>
    <w:qFormat/>
    <w:rsid w:val="00484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84B7F"/>
    <w:rPr>
      <w:i/>
      <w:iCs/>
      <w:color w:val="2F5496" w:themeColor="accent1" w:themeShade="BF"/>
    </w:rPr>
  </w:style>
  <w:style w:type="character" w:styleId="Rfrenceintense">
    <w:name w:val="Intense Reference"/>
    <w:basedOn w:val="Policepardfaut"/>
    <w:uiPriority w:val="32"/>
    <w:qFormat/>
    <w:rsid w:val="00484B7F"/>
    <w:rPr>
      <w:b/>
      <w:bCs/>
      <w:smallCaps/>
      <w:color w:val="2F5496" w:themeColor="accent1" w:themeShade="BF"/>
      <w:spacing w:val="5"/>
    </w:rPr>
  </w:style>
  <w:style w:type="character" w:styleId="Lienhypertexte">
    <w:name w:val="Hyperlink"/>
    <w:basedOn w:val="Policepardfaut"/>
    <w:uiPriority w:val="99"/>
    <w:unhideWhenUsed/>
    <w:rsid w:val="008609CF"/>
    <w:rPr>
      <w:color w:val="0563C1" w:themeColor="hyperlink"/>
      <w:u w:val="single"/>
    </w:rPr>
  </w:style>
  <w:style w:type="character" w:styleId="Mentionnonrsolue">
    <w:name w:val="Unresolved Mention"/>
    <w:basedOn w:val="Policepardfaut"/>
    <w:uiPriority w:val="99"/>
    <w:semiHidden/>
    <w:unhideWhenUsed/>
    <w:rsid w:val="008609CF"/>
    <w:rPr>
      <w:color w:val="605E5C"/>
      <w:shd w:val="clear" w:color="auto" w:fill="E1DFDD"/>
    </w:rPr>
  </w:style>
  <w:style w:type="paragraph" w:styleId="En-tte">
    <w:name w:val="header"/>
    <w:basedOn w:val="Normal"/>
    <w:link w:val="En-tteCar"/>
    <w:uiPriority w:val="99"/>
    <w:unhideWhenUsed/>
    <w:rsid w:val="00E63938"/>
    <w:pPr>
      <w:tabs>
        <w:tab w:val="center" w:pos="4703"/>
        <w:tab w:val="right" w:pos="9406"/>
      </w:tabs>
    </w:pPr>
  </w:style>
  <w:style w:type="character" w:customStyle="1" w:styleId="En-tteCar">
    <w:name w:val="En-tête Car"/>
    <w:basedOn w:val="Policepardfaut"/>
    <w:link w:val="En-tte"/>
    <w:uiPriority w:val="99"/>
    <w:rsid w:val="00E63938"/>
  </w:style>
  <w:style w:type="paragraph" w:styleId="Pieddepage">
    <w:name w:val="footer"/>
    <w:basedOn w:val="Normal"/>
    <w:link w:val="PieddepageCar"/>
    <w:uiPriority w:val="99"/>
    <w:unhideWhenUsed/>
    <w:rsid w:val="00E63938"/>
    <w:pPr>
      <w:tabs>
        <w:tab w:val="center" w:pos="4703"/>
        <w:tab w:val="right" w:pos="9406"/>
      </w:tabs>
    </w:pPr>
  </w:style>
  <w:style w:type="character" w:customStyle="1" w:styleId="PieddepageCar">
    <w:name w:val="Pied de page Car"/>
    <w:basedOn w:val="Policepardfaut"/>
    <w:link w:val="Pieddepage"/>
    <w:uiPriority w:val="99"/>
    <w:rsid w:val="00E63938"/>
  </w:style>
  <w:style w:type="paragraph" w:styleId="Notedebasdepage">
    <w:name w:val="footnote text"/>
    <w:basedOn w:val="Normal"/>
    <w:link w:val="NotedebasdepageCar"/>
    <w:uiPriority w:val="99"/>
    <w:semiHidden/>
    <w:unhideWhenUsed/>
    <w:rsid w:val="001A1E8D"/>
    <w:rPr>
      <w:sz w:val="20"/>
      <w:szCs w:val="20"/>
    </w:rPr>
  </w:style>
  <w:style w:type="character" w:customStyle="1" w:styleId="NotedebasdepageCar">
    <w:name w:val="Note de bas de page Car"/>
    <w:basedOn w:val="Policepardfaut"/>
    <w:link w:val="Notedebasdepage"/>
    <w:uiPriority w:val="99"/>
    <w:semiHidden/>
    <w:rsid w:val="001A1E8D"/>
    <w:rPr>
      <w:sz w:val="20"/>
      <w:szCs w:val="20"/>
    </w:rPr>
  </w:style>
  <w:style w:type="character" w:styleId="Appelnotedebasdep">
    <w:name w:val="footnote reference"/>
    <w:basedOn w:val="Policepardfaut"/>
    <w:uiPriority w:val="99"/>
    <w:semiHidden/>
    <w:unhideWhenUsed/>
    <w:rsid w:val="001A1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22105">
      <w:bodyDiv w:val="1"/>
      <w:marLeft w:val="0"/>
      <w:marRight w:val="0"/>
      <w:marTop w:val="0"/>
      <w:marBottom w:val="0"/>
      <w:divBdr>
        <w:top w:val="none" w:sz="0" w:space="0" w:color="auto"/>
        <w:left w:val="none" w:sz="0" w:space="0" w:color="auto"/>
        <w:bottom w:val="none" w:sz="0" w:space="0" w:color="auto"/>
        <w:right w:val="none" w:sz="0" w:space="0" w:color="auto"/>
      </w:divBdr>
      <w:divsChild>
        <w:div w:id="1789737974">
          <w:marLeft w:val="0"/>
          <w:marRight w:val="0"/>
          <w:marTop w:val="0"/>
          <w:marBottom w:val="150"/>
          <w:divBdr>
            <w:top w:val="none" w:sz="0" w:space="0" w:color="auto"/>
            <w:left w:val="none" w:sz="0" w:space="0" w:color="auto"/>
            <w:bottom w:val="none" w:sz="0" w:space="0" w:color="auto"/>
            <w:right w:val="none" w:sz="0" w:space="0" w:color="auto"/>
          </w:divBdr>
        </w:div>
      </w:divsChild>
    </w:div>
    <w:div w:id="299961032">
      <w:bodyDiv w:val="1"/>
      <w:marLeft w:val="0"/>
      <w:marRight w:val="0"/>
      <w:marTop w:val="0"/>
      <w:marBottom w:val="0"/>
      <w:divBdr>
        <w:top w:val="none" w:sz="0" w:space="0" w:color="auto"/>
        <w:left w:val="none" w:sz="0" w:space="0" w:color="auto"/>
        <w:bottom w:val="none" w:sz="0" w:space="0" w:color="auto"/>
        <w:right w:val="none" w:sz="0" w:space="0" w:color="auto"/>
      </w:divBdr>
    </w:div>
    <w:div w:id="1642346364">
      <w:bodyDiv w:val="1"/>
      <w:marLeft w:val="0"/>
      <w:marRight w:val="0"/>
      <w:marTop w:val="0"/>
      <w:marBottom w:val="0"/>
      <w:divBdr>
        <w:top w:val="none" w:sz="0" w:space="0" w:color="auto"/>
        <w:left w:val="none" w:sz="0" w:space="0" w:color="auto"/>
        <w:bottom w:val="none" w:sz="0" w:space="0" w:color="auto"/>
        <w:right w:val="none" w:sz="0" w:space="0" w:color="auto"/>
      </w:divBdr>
    </w:div>
    <w:div w:id="1698239705">
      <w:bodyDiv w:val="1"/>
      <w:marLeft w:val="0"/>
      <w:marRight w:val="0"/>
      <w:marTop w:val="0"/>
      <w:marBottom w:val="0"/>
      <w:divBdr>
        <w:top w:val="none" w:sz="0" w:space="0" w:color="auto"/>
        <w:left w:val="none" w:sz="0" w:space="0" w:color="auto"/>
        <w:bottom w:val="none" w:sz="0" w:space="0" w:color="auto"/>
        <w:right w:val="none" w:sz="0" w:space="0" w:color="auto"/>
      </w:divBdr>
      <w:divsChild>
        <w:div w:id="18915299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ierre.berger@aqriph.com" TargetMode="External"/><Relationship Id="rId4" Type="http://schemas.openxmlformats.org/officeDocument/2006/relationships/settings" Target="settings.xml"/><Relationship Id="rId9" Type="http://schemas.openxmlformats.org/officeDocument/2006/relationships/hyperlink" Target="mailto:aqriph@aqriph.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2198-32F2-4A28-BEF0-A7A802CB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Berger</dc:creator>
  <cp:keywords/>
  <dc:description/>
  <cp:lastModifiedBy>Christiane Vincent</cp:lastModifiedBy>
  <cp:revision>2</cp:revision>
  <dcterms:created xsi:type="dcterms:W3CDTF">2024-12-09T13:36:00Z</dcterms:created>
  <dcterms:modified xsi:type="dcterms:W3CDTF">2024-12-09T13:36:00Z</dcterms:modified>
</cp:coreProperties>
</file>